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525D" w14:textId="77777777" w:rsidR="00576ABF" w:rsidRDefault="00576ABF" w:rsidP="0041179C">
      <w:pPr>
        <w:pStyle w:val="NoSpacing"/>
        <w:jc w:val="center"/>
        <w:rPr>
          <w:sz w:val="32"/>
        </w:rPr>
      </w:pPr>
      <w:bookmarkStart w:id="0" w:name="_Hlk25071755"/>
      <w:bookmarkEnd w:id="0"/>
      <w:r>
        <w:rPr>
          <w:noProof/>
        </w:rPr>
        <w:drawing>
          <wp:inline distT="0" distB="0" distL="0" distR="0" wp14:anchorId="75ED31D6" wp14:editId="0F5262E8">
            <wp:extent cx="3154305" cy="793820"/>
            <wp:effectExtent l="0" t="0" r="8255" b="6350"/>
            <wp:docPr id="2" name="Picture 2" descr="C:\Users\cwalker\AppData\Local\Microsoft\Windows\INetCacheContent.Word\PBMPO Small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alker\AppData\Local\Microsoft\Windows\INetCacheContent.Word\PBMPO Small Lo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57" cy="8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8037" w14:textId="77777777" w:rsidR="00AA230B" w:rsidRDefault="00AA230B" w:rsidP="0041179C">
      <w:pPr>
        <w:pStyle w:val="NoSpacing"/>
      </w:pPr>
    </w:p>
    <w:p w14:paraId="31A8B44B" w14:textId="73984F8B" w:rsidR="00AA230B" w:rsidRDefault="00AA230B" w:rsidP="00AA230B">
      <w:pPr>
        <w:spacing w:after="0" w:line="265" w:lineRule="auto"/>
        <w:ind w:left="303" w:hanging="1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197F1F">
        <w:rPr>
          <w:rFonts w:ascii="Times New Roman" w:hAnsi="Times New Roman" w:cs="Times New Roman"/>
          <w:b/>
          <w:sz w:val="28"/>
          <w:szCs w:val="20"/>
          <w:u w:val="single"/>
        </w:rPr>
        <w:t>RESOLUTION NO. 20</w:t>
      </w:r>
      <w:r w:rsidR="003D3E33">
        <w:rPr>
          <w:rFonts w:ascii="Times New Roman" w:hAnsi="Times New Roman" w:cs="Times New Roman"/>
          <w:b/>
          <w:sz w:val="28"/>
          <w:szCs w:val="20"/>
          <w:u w:val="single"/>
        </w:rPr>
        <w:t>2</w:t>
      </w:r>
      <w:r w:rsidR="00924832">
        <w:rPr>
          <w:rFonts w:ascii="Times New Roman" w:hAnsi="Times New Roman" w:cs="Times New Roman"/>
          <w:b/>
          <w:sz w:val="28"/>
          <w:szCs w:val="20"/>
          <w:u w:val="single"/>
        </w:rPr>
        <w:t>4</w:t>
      </w:r>
      <w:r w:rsidRPr="00197F1F">
        <w:rPr>
          <w:rFonts w:ascii="Times New Roman" w:hAnsi="Times New Roman" w:cs="Times New Roman"/>
          <w:b/>
          <w:sz w:val="28"/>
          <w:szCs w:val="20"/>
          <w:u w:val="single"/>
        </w:rPr>
        <w:t>-</w:t>
      </w:r>
      <w:r w:rsidR="00E73623">
        <w:rPr>
          <w:rFonts w:ascii="Times New Roman" w:hAnsi="Times New Roman" w:cs="Times New Roman"/>
          <w:b/>
          <w:sz w:val="28"/>
          <w:szCs w:val="20"/>
          <w:u w:val="single"/>
        </w:rPr>
        <w:t>0</w:t>
      </w:r>
      <w:r w:rsidR="00924832">
        <w:rPr>
          <w:rFonts w:ascii="Times New Roman" w:hAnsi="Times New Roman" w:cs="Times New Roman"/>
          <w:b/>
          <w:sz w:val="28"/>
          <w:szCs w:val="20"/>
          <w:u w:val="single"/>
        </w:rPr>
        <w:t>1</w:t>
      </w:r>
      <w:r w:rsidRPr="00197F1F">
        <w:rPr>
          <w:rFonts w:ascii="Times New Roman" w:hAnsi="Times New Roman" w:cs="Times New Roman"/>
          <w:b/>
          <w:sz w:val="28"/>
          <w:szCs w:val="20"/>
          <w:u w:val="single"/>
        </w:rPr>
        <w:t>-</w:t>
      </w:r>
      <w:r w:rsidR="00E73623">
        <w:rPr>
          <w:rFonts w:ascii="Times New Roman" w:hAnsi="Times New Roman" w:cs="Times New Roman"/>
          <w:b/>
          <w:sz w:val="28"/>
          <w:szCs w:val="20"/>
          <w:u w:val="single"/>
        </w:rPr>
        <w:t>2</w:t>
      </w:r>
      <w:r w:rsidR="00924832">
        <w:rPr>
          <w:rFonts w:ascii="Times New Roman" w:hAnsi="Times New Roman" w:cs="Times New Roman"/>
          <w:b/>
          <w:sz w:val="28"/>
          <w:szCs w:val="20"/>
          <w:u w:val="single"/>
        </w:rPr>
        <w:t>9</w:t>
      </w:r>
      <w:r w:rsidRPr="00197F1F">
        <w:rPr>
          <w:rFonts w:ascii="Times New Roman" w:hAnsi="Times New Roman" w:cs="Times New Roman"/>
          <w:b/>
          <w:sz w:val="28"/>
          <w:szCs w:val="20"/>
          <w:u w:val="single"/>
        </w:rPr>
        <w:t>-</w:t>
      </w:r>
      <w:r w:rsidR="008C721D">
        <w:rPr>
          <w:rFonts w:ascii="Times New Roman" w:hAnsi="Times New Roman" w:cs="Times New Roman"/>
          <w:b/>
          <w:sz w:val="28"/>
          <w:szCs w:val="20"/>
          <w:u w:val="single"/>
        </w:rPr>
        <w:t>1</w:t>
      </w:r>
    </w:p>
    <w:p w14:paraId="3678EBF1" w14:textId="77777777" w:rsidR="00197F1F" w:rsidRPr="00197F1F" w:rsidRDefault="00197F1F" w:rsidP="00AA230B">
      <w:pPr>
        <w:spacing w:after="0" w:line="265" w:lineRule="auto"/>
        <w:ind w:left="303" w:hanging="1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640BF07B" w14:textId="7637A76D" w:rsidR="00197F1F" w:rsidRDefault="00924832" w:rsidP="00197F1F">
      <w:pPr>
        <w:spacing w:after="0" w:line="265" w:lineRule="auto"/>
        <w:ind w:left="303" w:hanging="1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A</w:t>
      </w:r>
      <w:r w:rsidR="00197F1F" w:rsidRPr="00197F1F">
        <w:rPr>
          <w:rFonts w:ascii="Times New Roman" w:hAnsi="Times New Roman" w:cs="Times New Roman"/>
          <w:b/>
          <w:sz w:val="24"/>
          <w:szCs w:val="18"/>
        </w:rPr>
        <w:t xml:space="preserve"> RESOLUTION IN SUPPORT OF THE PERMIAN BASIN METROPOLITAN</w:t>
      </w:r>
      <w:r w:rsidR="00E73623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197F1F" w:rsidRPr="00197F1F">
        <w:rPr>
          <w:rFonts w:ascii="Times New Roman" w:hAnsi="Times New Roman" w:cs="Times New Roman"/>
          <w:b/>
          <w:sz w:val="24"/>
          <w:szCs w:val="18"/>
        </w:rPr>
        <w:t>PLANNING ORGANIZATION’S PROJECTS IN THE 202</w:t>
      </w:r>
      <w:r>
        <w:rPr>
          <w:rFonts w:ascii="Times New Roman" w:hAnsi="Times New Roman" w:cs="Times New Roman"/>
          <w:b/>
          <w:sz w:val="24"/>
          <w:szCs w:val="18"/>
        </w:rPr>
        <w:t>5</w:t>
      </w:r>
      <w:r w:rsidR="00197F1F" w:rsidRPr="00197F1F">
        <w:rPr>
          <w:rFonts w:ascii="Times New Roman" w:hAnsi="Times New Roman" w:cs="Times New Roman"/>
          <w:b/>
          <w:sz w:val="24"/>
          <w:szCs w:val="18"/>
        </w:rPr>
        <w:t xml:space="preserve"> TXDOT</w:t>
      </w:r>
    </w:p>
    <w:p w14:paraId="301973E5" w14:textId="27AC40A1" w:rsidR="0071748C" w:rsidRPr="00197F1F" w:rsidRDefault="00197F1F" w:rsidP="00197F1F">
      <w:pPr>
        <w:spacing w:after="0" w:line="265" w:lineRule="auto"/>
        <w:ind w:left="303" w:hanging="1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197F1F">
        <w:rPr>
          <w:rFonts w:ascii="Times New Roman" w:hAnsi="Times New Roman" w:cs="Times New Roman"/>
          <w:b/>
          <w:sz w:val="24"/>
          <w:szCs w:val="18"/>
        </w:rPr>
        <w:t>UNIFIED TRANSPORTATION PROGRAM</w:t>
      </w:r>
    </w:p>
    <w:p w14:paraId="5B7FD914" w14:textId="77777777" w:rsidR="00586713" w:rsidRPr="00586713" w:rsidRDefault="00586713" w:rsidP="0041179C">
      <w:pPr>
        <w:pStyle w:val="NoSpacing"/>
      </w:pPr>
    </w:p>
    <w:p w14:paraId="52B7B9A5" w14:textId="77777777" w:rsidR="006B0D56" w:rsidRPr="00197F1F" w:rsidRDefault="0083088E" w:rsidP="00D503A2">
      <w:pPr>
        <w:spacing w:after="0" w:line="240" w:lineRule="auto"/>
        <w:ind w:left="1350" w:right="652" w:hanging="1321"/>
        <w:jc w:val="both"/>
        <w:rPr>
          <w:rFonts w:ascii="Times New Roman" w:hAnsi="Times New Roman" w:cs="Times New Roman"/>
          <w:sz w:val="24"/>
          <w:szCs w:val="24"/>
        </w:rPr>
      </w:pPr>
      <w:r w:rsidRPr="00197F1F">
        <w:rPr>
          <w:rFonts w:ascii="Times New Roman" w:hAnsi="Times New Roman" w:cs="Times New Roman"/>
          <w:b/>
          <w:sz w:val="24"/>
          <w:szCs w:val="24"/>
        </w:rPr>
        <w:t>WHEREAS</w:t>
      </w:r>
      <w:r w:rsidRPr="00197F1F">
        <w:rPr>
          <w:rFonts w:ascii="Times New Roman" w:hAnsi="Times New Roman" w:cs="Times New Roman"/>
          <w:sz w:val="24"/>
          <w:szCs w:val="24"/>
        </w:rPr>
        <w:t>, pursuant to federal law, the Governor of the State of Texas designated the</w:t>
      </w:r>
      <w:r w:rsidR="00576ABF"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586713" w:rsidRPr="00197F1F">
        <w:rPr>
          <w:rFonts w:ascii="Times New Roman" w:hAnsi="Times New Roman" w:cs="Times New Roman"/>
          <w:sz w:val="24"/>
          <w:szCs w:val="24"/>
        </w:rPr>
        <w:t xml:space="preserve">Permian Basin </w:t>
      </w:r>
      <w:r w:rsidRPr="00197F1F">
        <w:rPr>
          <w:rFonts w:ascii="Times New Roman" w:hAnsi="Times New Roman" w:cs="Times New Roman"/>
          <w:sz w:val="24"/>
          <w:szCs w:val="24"/>
        </w:rPr>
        <w:t>Metro</w:t>
      </w:r>
      <w:r w:rsidR="00586713" w:rsidRPr="00197F1F">
        <w:rPr>
          <w:rFonts w:ascii="Times New Roman" w:hAnsi="Times New Roman" w:cs="Times New Roman"/>
          <w:sz w:val="24"/>
          <w:szCs w:val="24"/>
        </w:rPr>
        <w:t>politan Planning Organization (PB</w:t>
      </w:r>
      <w:r w:rsidRPr="00197F1F">
        <w:rPr>
          <w:rFonts w:ascii="Times New Roman" w:hAnsi="Times New Roman" w:cs="Times New Roman"/>
          <w:sz w:val="24"/>
          <w:szCs w:val="24"/>
        </w:rPr>
        <w:t xml:space="preserve">MPO) as the Metropolitan Planning Organization for the </w:t>
      </w:r>
      <w:r w:rsidR="00586713" w:rsidRPr="00197F1F">
        <w:rPr>
          <w:rFonts w:ascii="Times New Roman" w:hAnsi="Times New Roman" w:cs="Times New Roman"/>
          <w:sz w:val="24"/>
          <w:szCs w:val="24"/>
        </w:rPr>
        <w:t>Midland - Odessa</w:t>
      </w:r>
      <w:r w:rsidRPr="00197F1F">
        <w:rPr>
          <w:rFonts w:ascii="Times New Roman" w:hAnsi="Times New Roman" w:cs="Times New Roman"/>
          <w:sz w:val="24"/>
          <w:szCs w:val="24"/>
        </w:rPr>
        <w:t xml:space="preserve"> region; and</w:t>
      </w:r>
    </w:p>
    <w:p w14:paraId="6D59BF90" w14:textId="77777777" w:rsidR="00AA230B" w:rsidRPr="00197F1F" w:rsidRDefault="00AA230B" w:rsidP="00D503A2">
      <w:pPr>
        <w:spacing w:after="0" w:line="240" w:lineRule="auto"/>
        <w:ind w:left="43" w:right="657" w:hanging="14"/>
        <w:jc w:val="both"/>
        <w:rPr>
          <w:rFonts w:ascii="Times New Roman" w:hAnsi="Times New Roman" w:cs="Times New Roman"/>
          <w:sz w:val="24"/>
          <w:szCs w:val="24"/>
        </w:rPr>
      </w:pPr>
    </w:p>
    <w:p w14:paraId="2716E23D" w14:textId="77777777" w:rsidR="00AA230B" w:rsidRPr="00197F1F" w:rsidRDefault="00586713" w:rsidP="00D503A2">
      <w:pPr>
        <w:spacing w:after="0" w:line="240" w:lineRule="auto"/>
        <w:ind w:left="1440" w:right="657" w:hanging="1411"/>
        <w:jc w:val="both"/>
        <w:rPr>
          <w:rFonts w:ascii="Times New Roman" w:hAnsi="Times New Roman" w:cs="Times New Roman"/>
          <w:sz w:val="24"/>
          <w:szCs w:val="24"/>
        </w:rPr>
      </w:pPr>
      <w:r w:rsidRPr="00197F1F">
        <w:rPr>
          <w:rFonts w:ascii="Times New Roman" w:hAnsi="Times New Roman" w:cs="Times New Roman"/>
          <w:b/>
          <w:sz w:val="24"/>
          <w:szCs w:val="24"/>
        </w:rPr>
        <w:t>WHEREAS</w:t>
      </w:r>
      <w:r w:rsidRPr="00197F1F">
        <w:rPr>
          <w:rFonts w:ascii="Times New Roman" w:hAnsi="Times New Roman" w:cs="Times New Roman"/>
          <w:sz w:val="24"/>
          <w:szCs w:val="24"/>
        </w:rPr>
        <w:t>, PB</w:t>
      </w:r>
      <w:r w:rsidR="0083088E" w:rsidRPr="00197F1F">
        <w:rPr>
          <w:rFonts w:ascii="Times New Roman" w:hAnsi="Times New Roman" w:cs="Times New Roman"/>
          <w:sz w:val="24"/>
          <w:szCs w:val="24"/>
        </w:rPr>
        <w:t>MPO's Policy Board is the entity for cooperative decision</w:t>
      </w:r>
      <w:r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83088E" w:rsidRPr="00197F1F">
        <w:rPr>
          <w:rFonts w:ascii="Times New Roman" w:hAnsi="Times New Roman" w:cs="Times New Roman"/>
          <w:sz w:val="24"/>
          <w:szCs w:val="24"/>
        </w:rPr>
        <w:t xml:space="preserve">making regarding regional transportation issues in </w:t>
      </w:r>
      <w:r w:rsidRPr="00197F1F">
        <w:rPr>
          <w:rFonts w:ascii="Times New Roman" w:hAnsi="Times New Roman" w:cs="Times New Roman"/>
          <w:sz w:val="24"/>
          <w:szCs w:val="24"/>
        </w:rPr>
        <w:t>portions of Midland, Ector and Martin Cou</w:t>
      </w:r>
      <w:r w:rsidR="0083088E" w:rsidRPr="00197F1F">
        <w:rPr>
          <w:rFonts w:ascii="Times New Roman" w:hAnsi="Times New Roman" w:cs="Times New Roman"/>
          <w:sz w:val="24"/>
          <w:szCs w:val="24"/>
        </w:rPr>
        <w:t>nties</w:t>
      </w:r>
      <w:r w:rsidRPr="00197F1F">
        <w:rPr>
          <w:rFonts w:ascii="Times New Roman" w:hAnsi="Times New Roman" w:cs="Times New Roman"/>
          <w:sz w:val="24"/>
          <w:szCs w:val="24"/>
        </w:rPr>
        <w:t>; and including the cities of Midland and Odessa;</w:t>
      </w:r>
      <w:r w:rsidR="0083088E" w:rsidRPr="00197F1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3F1F96E" w14:textId="77777777" w:rsidR="00AA230B" w:rsidRPr="00197F1F" w:rsidRDefault="00AA230B" w:rsidP="00D503A2">
      <w:pPr>
        <w:spacing w:after="0" w:line="240" w:lineRule="auto"/>
        <w:ind w:left="43" w:right="657" w:hanging="14"/>
        <w:jc w:val="both"/>
        <w:rPr>
          <w:rFonts w:ascii="Times New Roman" w:hAnsi="Times New Roman" w:cs="Times New Roman"/>
          <w:sz w:val="24"/>
          <w:szCs w:val="24"/>
        </w:rPr>
      </w:pPr>
    </w:p>
    <w:p w14:paraId="64FABE6F" w14:textId="77777777" w:rsidR="00AA230B" w:rsidRPr="00197F1F" w:rsidRDefault="0083088E" w:rsidP="00D503A2">
      <w:pPr>
        <w:spacing w:after="0" w:line="240" w:lineRule="auto"/>
        <w:ind w:left="1350" w:right="657" w:hanging="1321"/>
        <w:jc w:val="both"/>
        <w:rPr>
          <w:rFonts w:ascii="Times New Roman" w:hAnsi="Times New Roman" w:cs="Times New Roman"/>
          <w:sz w:val="24"/>
          <w:szCs w:val="24"/>
        </w:rPr>
      </w:pPr>
      <w:r w:rsidRPr="00197F1F">
        <w:rPr>
          <w:rFonts w:ascii="Times New Roman" w:hAnsi="Times New Roman" w:cs="Times New Roman"/>
          <w:b/>
          <w:sz w:val="24"/>
          <w:szCs w:val="24"/>
        </w:rPr>
        <w:t>WHEREAS</w:t>
      </w:r>
      <w:r w:rsidRPr="00197F1F">
        <w:rPr>
          <w:rFonts w:ascii="Times New Roman" w:hAnsi="Times New Roman" w:cs="Times New Roman"/>
          <w:sz w:val="24"/>
          <w:szCs w:val="24"/>
        </w:rPr>
        <w:t xml:space="preserve">, the Texas Department of Transportation (TxDOT) is a valuable partner in planning for and implementing </w:t>
      </w:r>
      <w:r w:rsidR="00AA230B" w:rsidRPr="00197F1F">
        <w:rPr>
          <w:rFonts w:ascii="Times New Roman" w:hAnsi="Times New Roman" w:cs="Times New Roman"/>
          <w:sz w:val="24"/>
          <w:szCs w:val="24"/>
        </w:rPr>
        <w:t>the region's mobility needs; and</w:t>
      </w:r>
    </w:p>
    <w:p w14:paraId="0268A17D" w14:textId="77777777" w:rsidR="00AA230B" w:rsidRPr="00197F1F" w:rsidRDefault="00AA230B" w:rsidP="00D503A2">
      <w:pPr>
        <w:spacing w:after="0" w:line="240" w:lineRule="auto"/>
        <w:ind w:left="43" w:right="657" w:hanging="14"/>
        <w:jc w:val="both"/>
        <w:rPr>
          <w:rFonts w:ascii="Times New Roman" w:hAnsi="Times New Roman" w:cs="Times New Roman"/>
          <w:sz w:val="24"/>
          <w:szCs w:val="24"/>
        </w:rPr>
      </w:pPr>
    </w:p>
    <w:p w14:paraId="0307E0E0" w14:textId="1F9D39E1" w:rsidR="00AA230B" w:rsidRPr="00197F1F" w:rsidRDefault="0083088E" w:rsidP="00D503A2">
      <w:pPr>
        <w:spacing w:after="0" w:line="240" w:lineRule="auto"/>
        <w:ind w:left="1440" w:right="652" w:hanging="1412"/>
        <w:jc w:val="both"/>
        <w:rPr>
          <w:rFonts w:ascii="Times New Roman" w:hAnsi="Times New Roman" w:cs="Times New Roman"/>
          <w:sz w:val="24"/>
          <w:szCs w:val="24"/>
        </w:rPr>
      </w:pPr>
      <w:r w:rsidRPr="00197F1F">
        <w:rPr>
          <w:rFonts w:ascii="Times New Roman" w:hAnsi="Times New Roman" w:cs="Times New Roman"/>
          <w:b/>
          <w:sz w:val="24"/>
          <w:szCs w:val="24"/>
        </w:rPr>
        <w:t>WHEREAS</w:t>
      </w:r>
      <w:r w:rsidRPr="00197F1F">
        <w:rPr>
          <w:rFonts w:ascii="Times New Roman" w:hAnsi="Times New Roman" w:cs="Times New Roman"/>
          <w:sz w:val="24"/>
          <w:szCs w:val="24"/>
        </w:rPr>
        <w:t>, TxDOT's Unified Transportation Program (UTP) is a 10-year planning guide for transportation project development and construction that is updated annually; and</w:t>
      </w:r>
      <w:r w:rsidR="00576ABF"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Pr="00197F1F">
        <w:rPr>
          <w:rFonts w:ascii="Times New Roman" w:hAnsi="Times New Roman" w:cs="Times New Roman"/>
          <w:sz w:val="24"/>
          <w:szCs w:val="24"/>
        </w:rPr>
        <w:t>funding category allocations for the 20</w:t>
      </w:r>
      <w:r w:rsidR="00231BDD">
        <w:rPr>
          <w:rFonts w:ascii="Times New Roman" w:hAnsi="Times New Roman" w:cs="Times New Roman"/>
          <w:sz w:val="24"/>
          <w:szCs w:val="24"/>
        </w:rPr>
        <w:t>2</w:t>
      </w:r>
      <w:r w:rsidR="00924832">
        <w:rPr>
          <w:rFonts w:ascii="Times New Roman" w:hAnsi="Times New Roman" w:cs="Times New Roman"/>
          <w:sz w:val="24"/>
          <w:szCs w:val="24"/>
        </w:rPr>
        <w:t>5</w:t>
      </w:r>
      <w:r w:rsidRPr="00197F1F">
        <w:rPr>
          <w:rFonts w:ascii="Times New Roman" w:hAnsi="Times New Roman" w:cs="Times New Roman"/>
          <w:sz w:val="24"/>
          <w:szCs w:val="24"/>
        </w:rPr>
        <w:t xml:space="preserve"> UTP include input from Metropolitan Planning Organizations and other stakeholders; and</w:t>
      </w:r>
    </w:p>
    <w:p w14:paraId="604AA826" w14:textId="77777777" w:rsidR="00AA230B" w:rsidRPr="00197F1F" w:rsidRDefault="00AA230B" w:rsidP="00D503A2">
      <w:pPr>
        <w:spacing w:after="0" w:line="240" w:lineRule="auto"/>
        <w:ind w:left="38" w:right="652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B21A22D" w14:textId="518B2C26" w:rsidR="00AA230B" w:rsidRPr="00197F1F" w:rsidRDefault="0083088E" w:rsidP="00D503A2">
      <w:pPr>
        <w:spacing w:after="0" w:line="240" w:lineRule="auto"/>
        <w:ind w:left="1350" w:right="652" w:hanging="1360"/>
        <w:jc w:val="both"/>
        <w:rPr>
          <w:rFonts w:ascii="Times New Roman" w:hAnsi="Times New Roman" w:cs="Times New Roman"/>
          <w:sz w:val="24"/>
          <w:szCs w:val="24"/>
        </w:rPr>
      </w:pPr>
      <w:r w:rsidRPr="00197F1F">
        <w:rPr>
          <w:rFonts w:ascii="Times New Roman" w:hAnsi="Times New Roman" w:cs="Times New Roman"/>
          <w:b/>
          <w:sz w:val="24"/>
          <w:szCs w:val="24"/>
        </w:rPr>
        <w:t>WHEREAS</w:t>
      </w:r>
      <w:r w:rsidRPr="00197F1F">
        <w:rPr>
          <w:rFonts w:ascii="Times New Roman" w:hAnsi="Times New Roman" w:cs="Times New Roman"/>
          <w:sz w:val="24"/>
          <w:szCs w:val="24"/>
        </w:rPr>
        <w:t>, the 20</w:t>
      </w:r>
      <w:r w:rsidR="00231BDD">
        <w:rPr>
          <w:rFonts w:ascii="Times New Roman" w:hAnsi="Times New Roman" w:cs="Times New Roman"/>
          <w:sz w:val="24"/>
          <w:szCs w:val="24"/>
        </w:rPr>
        <w:t>2</w:t>
      </w:r>
      <w:r w:rsidR="00924832">
        <w:rPr>
          <w:rFonts w:ascii="Times New Roman" w:hAnsi="Times New Roman" w:cs="Times New Roman"/>
          <w:sz w:val="24"/>
          <w:szCs w:val="24"/>
        </w:rPr>
        <w:t>5</w:t>
      </w:r>
      <w:r w:rsidRPr="00197F1F">
        <w:rPr>
          <w:rFonts w:ascii="Times New Roman" w:hAnsi="Times New Roman" w:cs="Times New Roman"/>
          <w:sz w:val="24"/>
          <w:szCs w:val="24"/>
        </w:rPr>
        <w:t xml:space="preserve"> UTP includes funding sources </w:t>
      </w:r>
      <w:r w:rsidR="00231BDD">
        <w:rPr>
          <w:rFonts w:ascii="Times New Roman" w:hAnsi="Times New Roman" w:cs="Times New Roman"/>
          <w:sz w:val="24"/>
          <w:szCs w:val="24"/>
        </w:rPr>
        <w:t>such as</w:t>
      </w:r>
      <w:r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7A1427">
        <w:rPr>
          <w:rFonts w:ascii="Times New Roman" w:hAnsi="Times New Roman" w:cs="Times New Roman"/>
          <w:sz w:val="24"/>
          <w:szCs w:val="24"/>
        </w:rPr>
        <w:t>TxDOT Category 2 funds</w:t>
      </w:r>
      <w:r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7A1427">
        <w:rPr>
          <w:rFonts w:ascii="Times New Roman" w:hAnsi="Times New Roman" w:cs="Times New Roman"/>
          <w:sz w:val="24"/>
          <w:szCs w:val="24"/>
        </w:rPr>
        <w:t>made available for MPO projects</w:t>
      </w:r>
      <w:r w:rsidRPr="00197F1F">
        <w:rPr>
          <w:rFonts w:ascii="Times New Roman" w:hAnsi="Times New Roman" w:cs="Times New Roman"/>
          <w:sz w:val="24"/>
          <w:szCs w:val="24"/>
        </w:rPr>
        <w:t xml:space="preserve">; additional funding provided through the federal </w:t>
      </w:r>
      <w:r w:rsidR="000508DD">
        <w:rPr>
          <w:rFonts w:ascii="Times New Roman" w:hAnsi="Times New Roman" w:cs="Times New Roman"/>
          <w:sz w:val="24"/>
          <w:szCs w:val="24"/>
        </w:rPr>
        <w:t>IIJA</w:t>
      </w:r>
      <w:r w:rsidRPr="00197F1F">
        <w:rPr>
          <w:rFonts w:ascii="Times New Roman" w:hAnsi="Times New Roman" w:cs="Times New Roman"/>
          <w:sz w:val="24"/>
          <w:szCs w:val="24"/>
        </w:rPr>
        <w:t xml:space="preserve"> transportation bill </w:t>
      </w:r>
      <w:r w:rsidR="00AF0C82">
        <w:rPr>
          <w:rFonts w:ascii="Times New Roman" w:hAnsi="Times New Roman" w:cs="Times New Roman"/>
          <w:sz w:val="24"/>
          <w:szCs w:val="24"/>
        </w:rPr>
        <w:t xml:space="preserve">for </w:t>
      </w:r>
      <w:r w:rsidR="00AF0C82" w:rsidRPr="00197F1F">
        <w:rPr>
          <w:rFonts w:ascii="Times New Roman" w:hAnsi="Times New Roman" w:cs="Times New Roman"/>
          <w:sz w:val="24"/>
          <w:szCs w:val="24"/>
        </w:rPr>
        <w:t>metropolitan</w:t>
      </w:r>
      <w:r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586713" w:rsidRPr="00197F1F">
        <w:rPr>
          <w:rFonts w:ascii="Times New Roman" w:hAnsi="Times New Roman" w:cs="Times New Roman"/>
          <w:sz w:val="24"/>
          <w:szCs w:val="24"/>
        </w:rPr>
        <w:t xml:space="preserve">and rural areas in the state; and </w:t>
      </w:r>
      <w:r w:rsidRPr="00197F1F">
        <w:rPr>
          <w:rFonts w:ascii="Times New Roman" w:hAnsi="Times New Roman" w:cs="Times New Roman"/>
          <w:sz w:val="24"/>
          <w:szCs w:val="24"/>
        </w:rPr>
        <w:t>funding for the state's connectivity corridors; and</w:t>
      </w:r>
    </w:p>
    <w:p w14:paraId="44576B85" w14:textId="77777777" w:rsidR="00AA230B" w:rsidRPr="00197F1F" w:rsidRDefault="00AA230B" w:rsidP="00D503A2">
      <w:pPr>
        <w:spacing w:after="0" w:line="240" w:lineRule="auto"/>
        <w:ind w:left="38" w:right="652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8C4989E" w14:textId="55AA5035" w:rsidR="00576ABF" w:rsidRDefault="0083088E" w:rsidP="00D503A2">
      <w:pPr>
        <w:spacing w:after="296" w:line="240" w:lineRule="auto"/>
        <w:ind w:left="1350" w:right="652" w:hanging="135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437482"/>
      <w:r w:rsidRPr="00197F1F">
        <w:rPr>
          <w:rFonts w:ascii="Times New Roman" w:hAnsi="Times New Roman" w:cs="Times New Roman"/>
          <w:b/>
          <w:sz w:val="24"/>
          <w:szCs w:val="24"/>
        </w:rPr>
        <w:t>WHEREAS</w:t>
      </w:r>
      <w:r w:rsidRPr="00197F1F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197F1F">
        <w:rPr>
          <w:rFonts w:ascii="Times New Roman" w:hAnsi="Times New Roman" w:cs="Times New Roman"/>
          <w:sz w:val="24"/>
          <w:szCs w:val="24"/>
        </w:rPr>
        <w:t xml:space="preserve">projects </w:t>
      </w:r>
      <w:r w:rsidR="003E7568">
        <w:rPr>
          <w:rFonts w:ascii="Times New Roman" w:hAnsi="Times New Roman" w:cs="Times New Roman"/>
          <w:sz w:val="24"/>
          <w:szCs w:val="24"/>
        </w:rPr>
        <w:t>listed</w:t>
      </w:r>
      <w:r w:rsidRPr="00197F1F">
        <w:rPr>
          <w:rFonts w:ascii="Times New Roman" w:hAnsi="Times New Roman" w:cs="Times New Roman"/>
          <w:sz w:val="24"/>
          <w:szCs w:val="24"/>
        </w:rPr>
        <w:t xml:space="preserve"> in </w:t>
      </w:r>
      <w:r w:rsidR="00CE5C3F">
        <w:rPr>
          <w:rFonts w:ascii="Times New Roman" w:hAnsi="Times New Roman" w:cs="Times New Roman"/>
          <w:sz w:val="24"/>
          <w:szCs w:val="24"/>
        </w:rPr>
        <w:t>Attachment “A” are part of this Resolution and</w:t>
      </w:r>
      <w:r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3E7568">
        <w:rPr>
          <w:rFonts w:ascii="Times New Roman" w:hAnsi="Times New Roman" w:cs="Times New Roman"/>
          <w:sz w:val="24"/>
          <w:szCs w:val="24"/>
        </w:rPr>
        <w:t xml:space="preserve">are prioritized </w:t>
      </w:r>
      <w:r w:rsidR="00576ABF" w:rsidRPr="00197F1F">
        <w:rPr>
          <w:rFonts w:ascii="Times New Roman" w:hAnsi="Times New Roman" w:cs="Times New Roman"/>
          <w:sz w:val="24"/>
          <w:szCs w:val="24"/>
        </w:rPr>
        <w:t>using the PBMPO’s ap</w:t>
      </w:r>
      <w:r w:rsidR="00231BDD">
        <w:rPr>
          <w:rFonts w:ascii="Times New Roman" w:hAnsi="Times New Roman" w:cs="Times New Roman"/>
          <w:sz w:val="24"/>
          <w:szCs w:val="24"/>
        </w:rPr>
        <w:t>prov</w:t>
      </w:r>
      <w:r w:rsidR="00576ABF" w:rsidRPr="00197F1F">
        <w:rPr>
          <w:rFonts w:ascii="Times New Roman" w:hAnsi="Times New Roman" w:cs="Times New Roman"/>
          <w:sz w:val="24"/>
          <w:szCs w:val="24"/>
        </w:rPr>
        <w:t xml:space="preserve">ed project selection </w:t>
      </w:r>
      <w:r w:rsidR="00231BDD" w:rsidRPr="00197F1F">
        <w:rPr>
          <w:rFonts w:ascii="Times New Roman" w:hAnsi="Times New Roman" w:cs="Times New Roman"/>
          <w:sz w:val="24"/>
          <w:szCs w:val="24"/>
        </w:rPr>
        <w:t>process</w:t>
      </w:r>
      <w:r w:rsidR="003E7568">
        <w:rPr>
          <w:rFonts w:ascii="Times New Roman" w:hAnsi="Times New Roman" w:cs="Times New Roman"/>
          <w:sz w:val="24"/>
          <w:szCs w:val="24"/>
        </w:rPr>
        <w:t>. All projects are also</w:t>
      </w:r>
      <w:r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3E7568">
        <w:rPr>
          <w:rFonts w:ascii="Times New Roman" w:hAnsi="Times New Roman" w:cs="Times New Roman"/>
          <w:sz w:val="24"/>
          <w:szCs w:val="24"/>
        </w:rPr>
        <w:t>listed</w:t>
      </w:r>
      <w:r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="003E7568">
        <w:rPr>
          <w:rFonts w:ascii="Times New Roman" w:hAnsi="Times New Roman" w:cs="Times New Roman"/>
          <w:sz w:val="24"/>
          <w:szCs w:val="24"/>
        </w:rPr>
        <w:t>in the 2045 MTP.</w:t>
      </w:r>
      <w:r w:rsidR="00CE5C3F">
        <w:rPr>
          <w:rFonts w:ascii="Times New Roman" w:hAnsi="Times New Roman" w:cs="Times New Roman"/>
          <w:sz w:val="24"/>
          <w:szCs w:val="24"/>
        </w:rPr>
        <w:t xml:space="preserve"> The projects listed are intended to </w:t>
      </w:r>
      <w:r w:rsidRPr="00197F1F">
        <w:rPr>
          <w:rFonts w:ascii="Times New Roman" w:hAnsi="Times New Roman" w:cs="Times New Roman"/>
          <w:sz w:val="24"/>
          <w:szCs w:val="24"/>
        </w:rPr>
        <w:t>maximize the use of available funding by leveraging additional funding sources.</w:t>
      </w:r>
    </w:p>
    <w:p w14:paraId="3E1059C7" w14:textId="1A136AAD" w:rsidR="005706DD" w:rsidRDefault="0083088E" w:rsidP="0041179C">
      <w:pPr>
        <w:spacing w:after="289" w:line="240" w:lineRule="auto"/>
        <w:ind w:left="1350" w:right="657" w:hanging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F1F">
        <w:rPr>
          <w:rFonts w:ascii="Times New Roman" w:hAnsi="Times New Roman" w:cs="Times New Roman"/>
          <w:b/>
          <w:sz w:val="24"/>
          <w:szCs w:val="24"/>
        </w:rPr>
        <w:t>NOW, THEREFORE BE IT RESOLVED</w:t>
      </w:r>
      <w:r w:rsidRPr="00197F1F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86713" w:rsidRPr="00197F1F">
        <w:rPr>
          <w:rFonts w:ascii="Times New Roman" w:hAnsi="Times New Roman" w:cs="Times New Roman"/>
          <w:sz w:val="24"/>
          <w:szCs w:val="24"/>
        </w:rPr>
        <w:t xml:space="preserve">Permian Basin </w:t>
      </w:r>
      <w:r w:rsidRPr="00197F1F">
        <w:rPr>
          <w:rFonts w:ascii="Times New Roman" w:hAnsi="Times New Roman" w:cs="Times New Roman"/>
          <w:sz w:val="24"/>
          <w:szCs w:val="24"/>
        </w:rPr>
        <w:t xml:space="preserve">Metropolitan Planning Organization's Policy Board recommends the </w:t>
      </w:r>
      <w:r w:rsidR="00586713" w:rsidRPr="00197F1F">
        <w:rPr>
          <w:rFonts w:ascii="Times New Roman" w:hAnsi="Times New Roman" w:cs="Times New Roman"/>
          <w:sz w:val="24"/>
          <w:szCs w:val="24"/>
        </w:rPr>
        <w:t xml:space="preserve">attached list of regional </w:t>
      </w:r>
      <w:r w:rsidRPr="00197F1F">
        <w:rPr>
          <w:rFonts w:ascii="Times New Roman" w:hAnsi="Times New Roman" w:cs="Times New Roman"/>
          <w:sz w:val="24"/>
          <w:szCs w:val="24"/>
        </w:rPr>
        <w:t xml:space="preserve">projects </w:t>
      </w:r>
      <w:r w:rsidR="00576ABF" w:rsidRPr="00197F1F">
        <w:rPr>
          <w:rFonts w:ascii="Times New Roman" w:hAnsi="Times New Roman" w:cs="Times New Roman"/>
          <w:sz w:val="24"/>
          <w:szCs w:val="24"/>
        </w:rPr>
        <w:t>to</w:t>
      </w:r>
      <w:r w:rsidRPr="00197F1F">
        <w:rPr>
          <w:rFonts w:ascii="Times New Roman" w:hAnsi="Times New Roman" w:cs="Times New Roman"/>
          <w:sz w:val="24"/>
          <w:szCs w:val="24"/>
        </w:rPr>
        <w:t xml:space="preserve"> be included in the </w:t>
      </w:r>
      <w:r w:rsidR="007A1427">
        <w:rPr>
          <w:rFonts w:ascii="Times New Roman" w:hAnsi="Times New Roman" w:cs="Times New Roman"/>
          <w:sz w:val="24"/>
          <w:szCs w:val="24"/>
        </w:rPr>
        <w:t xml:space="preserve">TxDOT FY </w:t>
      </w:r>
      <w:r w:rsidRPr="00197F1F">
        <w:rPr>
          <w:rFonts w:ascii="Times New Roman" w:hAnsi="Times New Roman" w:cs="Times New Roman"/>
          <w:sz w:val="24"/>
          <w:szCs w:val="24"/>
        </w:rPr>
        <w:t>20</w:t>
      </w:r>
      <w:r w:rsidR="00231BDD">
        <w:rPr>
          <w:rFonts w:ascii="Times New Roman" w:hAnsi="Times New Roman" w:cs="Times New Roman"/>
          <w:sz w:val="24"/>
          <w:szCs w:val="24"/>
        </w:rPr>
        <w:t>2</w:t>
      </w:r>
      <w:r w:rsidR="00924832">
        <w:rPr>
          <w:rFonts w:ascii="Times New Roman" w:hAnsi="Times New Roman" w:cs="Times New Roman"/>
          <w:sz w:val="24"/>
          <w:szCs w:val="24"/>
        </w:rPr>
        <w:t>5</w:t>
      </w:r>
      <w:r w:rsidR="007A1427">
        <w:rPr>
          <w:rFonts w:ascii="Times New Roman" w:hAnsi="Times New Roman" w:cs="Times New Roman"/>
          <w:sz w:val="24"/>
          <w:szCs w:val="24"/>
        </w:rPr>
        <w:t>-203</w:t>
      </w:r>
      <w:r w:rsidR="00924832">
        <w:rPr>
          <w:rFonts w:ascii="Times New Roman" w:hAnsi="Times New Roman" w:cs="Times New Roman"/>
          <w:sz w:val="24"/>
          <w:szCs w:val="24"/>
        </w:rPr>
        <w:t>4</w:t>
      </w:r>
      <w:r w:rsidRPr="00197F1F">
        <w:rPr>
          <w:rFonts w:ascii="Times New Roman" w:hAnsi="Times New Roman" w:cs="Times New Roman"/>
          <w:sz w:val="24"/>
          <w:szCs w:val="24"/>
        </w:rPr>
        <w:t xml:space="preserve"> UTP, leveraging MPO directed funding </w:t>
      </w:r>
      <w:r w:rsidR="00231BDD">
        <w:rPr>
          <w:rFonts w:ascii="Times New Roman" w:hAnsi="Times New Roman" w:cs="Times New Roman"/>
          <w:sz w:val="24"/>
          <w:szCs w:val="24"/>
        </w:rPr>
        <w:t>from</w:t>
      </w:r>
      <w:r w:rsidR="00231BDD" w:rsidRPr="00197F1F">
        <w:rPr>
          <w:rFonts w:ascii="Times New Roman" w:hAnsi="Times New Roman" w:cs="Times New Roman"/>
          <w:sz w:val="24"/>
          <w:szCs w:val="24"/>
        </w:rPr>
        <w:t xml:space="preserve"> </w:t>
      </w:r>
      <w:r w:rsidRPr="00197F1F">
        <w:rPr>
          <w:rFonts w:ascii="Times New Roman" w:hAnsi="Times New Roman" w:cs="Times New Roman"/>
          <w:sz w:val="24"/>
          <w:szCs w:val="24"/>
        </w:rPr>
        <w:t>Categor</w:t>
      </w:r>
      <w:r w:rsidR="00586713" w:rsidRPr="00197F1F">
        <w:rPr>
          <w:rFonts w:ascii="Times New Roman" w:hAnsi="Times New Roman" w:cs="Times New Roman"/>
          <w:sz w:val="24"/>
          <w:szCs w:val="24"/>
        </w:rPr>
        <w:t>y</w:t>
      </w:r>
      <w:r w:rsidRPr="00197F1F">
        <w:rPr>
          <w:rFonts w:ascii="Times New Roman" w:hAnsi="Times New Roman" w:cs="Times New Roman"/>
          <w:sz w:val="24"/>
          <w:szCs w:val="24"/>
        </w:rPr>
        <w:t xml:space="preserve"> 2 with local funding sources and Commission directed funding</w:t>
      </w:r>
      <w:r w:rsidRPr="00197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03880" w14:textId="77777777" w:rsidR="005706DD" w:rsidRDefault="005706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ABEF80C" w14:textId="60B35FB0" w:rsidR="0071748C" w:rsidRDefault="0083088E" w:rsidP="00197F1F">
      <w:pPr>
        <w:spacing w:after="289" w:line="240" w:lineRule="auto"/>
        <w:ind w:left="38" w:right="657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PASSED AND APPROVED this </w:t>
      </w:r>
      <w:r w:rsidR="00F56C1E">
        <w:rPr>
          <w:rFonts w:ascii="Times New Roman" w:hAnsi="Times New Roman" w:cs="Times New Roman"/>
          <w:b/>
          <w:sz w:val="24"/>
          <w:szCs w:val="24"/>
        </w:rPr>
        <w:t>29th</w:t>
      </w:r>
      <w:r w:rsidRPr="00197F1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86713" w:rsidRPr="00197F1F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924832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E73623">
        <w:rPr>
          <w:rFonts w:ascii="Times New Roman" w:hAnsi="Times New Roman" w:cs="Times New Roman"/>
          <w:b/>
          <w:sz w:val="24"/>
          <w:szCs w:val="24"/>
        </w:rPr>
        <w:t>202</w:t>
      </w:r>
      <w:r w:rsidR="00924832">
        <w:rPr>
          <w:rFonts w:ascii="Times New Roman" w:hAnsi="Times New Roman" w:cs="Times New Roman"/>
          <w:b/>
          <w:sz w:val="24"/>
          <w:szCs w:val="24"/>
        </w:rPr>
        <w:t>4</w:t>
      </w:r>
      <w:r w:rsidRPr="00197F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60B6B" wp14:editId="6750F736">
            <wp:extent cx="42672" cy="24392"/>
            <wp:effectExtent l="0" t="0" r="0" b="0"/>
            <wp:docPr id="4573" name="Picture 4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" name="Picture 45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9A11C" w14:textId="044A16F7" w:rsidR="00AD06A4" w:rsidRPr="00197F1F" w:rsidRDefault="00075DC6" w:rsidP="00197F1F">
      <w:pPr>
        <w:spacing w:after="289" w:line="240" w:lineRule="auto"/>
        <w:ind w:left="38" w:right="65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FF85264" wp14:editId="1515EF88">
            <wp:simplePos x="0" y="0"/>
            <wp:positionH relativeFrom="column">
              <wp:posOffset>3588755</wp:posOffset>
            </wp:positionH>
            <wp:positionV relativeFrom="paragraph">
              <wp:posOffset>179070</wp:posOffset>
            </wp:positionV>
            <wp:extent cx="2240280" cy="877824"/>
            <wp:effectExtent l="0" t="0" r="7620" b="0"/>
            <wp:wrapNone/>
            <wp:docPr id="1127299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6A4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7B727C" wp14:editId="3F7CAFC1">
            <wp:simplePos x="0" y="0"/>
            <wp:positionH relativeFrom="column">
              <wp:posOffset>-57785</wp:posOffset>
            </wp:positionH>
            <wp:positionV relativeFrom="paragraph">
              <wp:posOffset>342761</wp:posOffset>
            </wp:positionV>
            <wp:extent cx="2332135" cy="713232"/>
            <wp:effectExtent l="0" t="0" r="0" b="0"/>
            <wp:wrapNone/>
            <wp:docPr id="16337741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35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EA8C4" w14:textId="660260D7" w:rsidR="00AA230B" w:rsidRPr="00197F1F" w:rsidRDefault="00AA230B" w:rsidP="00197F1F">
      <w:pPr>
        <w:spacing w:after="289" w:line="220" w:lineRule="auto"/>
        <w:ind w:left="38" w:right="657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0E63D30" w14:textId="6F654D70" w:rsidR="00AA230B" w:rsidRPr="00197F1F" w:rsidRDefault="005706DD" w:rsidP="005706DD">
      <w:pPr>
        <w:spacing w:after="3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16F30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</w:t>
      </w:r>
      <w:r w:rsidRPr="00B16F3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16F30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_____</w:t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5706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06D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508DD" w:rsidRPr="0042667B">
        <w:rPr>
          <w:rFonts w:ascii="Times New Roman" w:hAnsi="Times New Roman" w:cs="Times New Roman"/>
          <w:b/>
          <w:bCs/>
          <w:sz w:val="24"/>
          <w:szCs w:val="24"/>
        </w:rPr>
        <w:t>ack Ladd</w:t>
      </w:r>
      <w:r w:rsidR="00AA230B" w:rsidRPr="0042667B">
        <w:rPr>
          <w:rFonts w:ascii="Times New Roman" w:hAnsi="Times New Roman" w:cs="Times New Roman"/>
          <w:b/>
          <w:bCs/>
          <w:sz w:val="24"/>
          <w:szCs w:val="24"/>
        </w:rPr>
        <w:t>, Chair</w:t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0508DD">
        <w:rPr>
          <w:rFonts w:ascii="Times New Roman" w:hAnsi="Times New Roman" w:cs="Times New Roman"/>
          <w:sz w:val="24"/>
          <w:szCs w:val="24"/>
        </w:rPr>
        <w:tab/>
      </w:r>
      <w:r w:rsidR="00A77F3B" w:rsidRPr="0042667B">
        <w:rPr>
          <w:rFonts w:ascii="Times New Roman" w:hAnsi="Times New Roman" w:cs="Times New Roman"/>
          <w:b/>
          <w:bCs/>
          <w:sz w:val="24"/>
          <w:szCs w:val="24"/>
        </w:rPr>
        <w:t>Mike Gardner, Vice Chair</w:t>
      </w:r>
      <w:r w:rsidR="00A77F3B" w:rsidRPr="004266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C6309B" w14:textId="659D55A6" w:rsidR="0071748C" w:rsidRPr="00197F1F" w:rsidRDefault="004F3864" w:rsidP="00197F1F">
      <w:pPr>
        <w:spacing w:after="35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542EF3" wp14:editId="1E6BF62F">
            <wp:simplePos x="0" y="0"/>
            <wp:positionH relativeFrom="column">
              <wp:posOffset>3518500</wp:posOffset>
            </wp:positionH>
            <wp:positionV relativeFrom="paragraph">
              <wp:posOffset>135374</wp:posOffset>
            </wp:positionV>
            <wp:extent cx="2418924" cy="914400"/>
            <wp:effectExtent l="0" t="0" r="635" b="0"/>
            <wp:wrapNone/>
            <wp:docPr id="1820769144" name="Picture 6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69144" name="Picture 6" descr="A close-up of a signatur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" t="14991" r="17167" b="10902"/>
                    <a:stretch/>
                  </pic:blipFill>
                  <pic:spPr bwMode="auto">
                    <a:xfrm>
                      <a:off x="0" y="0"/>
                      <a:ext cx="2418924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E70DA" w14:textId="5FEBB538" w:rsidR="004F3864" w:rsidRDefault="000F59D3" w:rsidP="00197F1F">
      <w:pPr>
        <w:spacing w:after="35"/>
        <w:ind w:left="-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17B02E" wp14:editId="6E275046">
            <wp:simplePos x="0" y="0"/>
            <wp:positionH relativeFrom="column">
              <wp:posOffset>-138807</wp:posOffset>
            </wp:positionH>
            <wp:positionV relativeFrom="paragraph">
              <wp:posOffset>155171</wp:posOffset>
            </wp:positionV>
            <wp:extent cx="2806700" cy="520700"/>
            <wp:effectExtent l="0" t="0" r="0" b="0"/>
            <wp:wrapNone/>
            <wp:docPr id="1847321273" name="Picture 4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321273" name="Picture 4" descr="A close-up of a sig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37FCD" w14:textId="2A60F011" w:rsidR="00AA230B" w:rsidRPr="00197F1F" w:rsidRDefault="00AA230B" w:rsidP="00197F1F">
      <w:pPr>
        <w:spacing w:after="35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618ABEFA" w14:textId="0B26111A" w:rsidR="00AA230B" w:rsidRPr="00197F1F" w:rsidRDefault="005706DD" w:rsidP="00197F1F">
      <w:pPr>
        <w:spacing w:after="3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16F30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</w:t>
      </w:r>
      <w:r w:rsidRPr="00B16F3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16F30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_____</w:t>
      </w:r>
    </w:p>
    <w:p w14:paraId="22CD5F0E" w14:textId="799A4917" w:rsidR="00AA230B" w:rsidRPr="00197F1F" w:rsidRDefault="00A77F3B" w:rsidP="00197F1F">
      <w:pPr>
        <w:spacing w:after="43" w:line="220" w:lineRule="auto"/>
        <w:ind w:right="657"/>
        <w:jc w:val="both"/>
        <w:rPr>
          <w:rFonts w:ascii="Times New Roman" w:hAnsi="Times New Roman" w:cs="Times New Roman"/>
          <w:sz w:val="24"/>
          <w:szCs w:val="24"/>
        </w:rPr>
      </w:pPr>
      <w:r w:rsidRPr="0042667B">
        <w:rPr>
          <w:rFonts w:ascii="Times New Roman" w:hAnsi="Times New Roman" w:cs="Times New Roman"/>
          <w:b/>
          <w:bCs/>
          <w:sz w:val="24"/>
          <w:szCs w:val="24"/>
        </w:rPr>
        <w:t>Steve Thompson</w:t>
      </w:r>
      <w:r w:rsidRPr="0042667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E56189" w:rsidRPr="00197F1F">
        <w:rPr>
          <w:rFonts w:ascii="Times New Roman" w:hAnsi="Times New Roman" w:cs="Times New Roman"/>
          <w:sz w:val="24"/>
          <w:szCs w:val="24"/>
        </w:rPr>
        <w:tab/>
      </w:r>
      <w:r w:rsidR="00E73623" w:rsidRPr="0042667B">
        <w:rPr>
          <w:rFonts w:ascii="Times New Roman" w:hAnsi="Times New Roman" w:cs="Times New Roman"/>
          <w:b/>
          <w:bCs/>
          <w:sz w:val="24"/>
          <w:szCs w:val="24"/>
        </w:rPr>
        <w:t>Terry Johnson</w:t>
      </w:r>
    </w:p>
    <w:p w14:paraId="3BC45495" w14:textId="0B11932D" w:rsidR="00AA230B" w:rsidRPr="00197F1F" w:rsidRDefault="003E2B5D" w:rsidP="00197F1F">
      <w:pPr>
        <w:spacing w:after="35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F7A6AC" wp14:editId="5592251D">
            <wp:simplePos x="0" y="0"/>
            <wp:positionH relativeFrom="column">
              <wp:posOffset>-8038</wp:posOffset>
            </wp:positionH>
            <wp:positionV relativeFrom="paragraph">
              <wp:posOffset>210108</wp:posOffset>
            </wp:positionV>
            <wp:extent cx="2210638" cy="475325"/>
            <wp:effectExtent l="0" t="0" r="0" b="1270"/>
            <wp:wrapNone/>
            <wp:docPr id="4668733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73" cy="477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DB051" w14:textId="7047BC59" w:rsidR="00AA230B" w:rsidRPr="00197F1F" w:rsidRDefault="00AA230B" w:rsidP="00197F1F">
      <w:pPr>
        <w:spacing w:after="35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3A920B9D" w14:textId="6C03734C" w:rsidR="00AA230B" w:rsidRPr="005706DD" w:rsidRDefault="005706DD" w:rsidP="00197F1F">
      <w:pPr>
        <w:spacing w:after="35"/>
        <w:ind w:lef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F30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</w:t>
      </w:r>
      <w:r w:rsidRPr="00B16F3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16F30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_____</w:t>
      </w:r>
    </w:p>
    <w:p w14:paraId="0FD44700" w14:textId="00890BCC" w:rsidR="00AA230B" w:rsidRPr="00197F1F" w:rsidRDefault="000508DD" w:rsidP="00197F1F">
      <w:pPr>
        <w:spacing w:after="43" w:line="220" w:lineRule="auto"/>
        <w:ind w:left="38" w:right="657" w:hanging="10"/>
        <w:jc w:val="both"/>
        <w:rPr>
          <w:rFonts w:ascii="Times New Roman" w:hAnsi="Times New Roman" w:cs="Times New Roman"/>
          <w:sz w:val="24"/>
          <w:szCs w:val="24"/>
        </w:rPr>
      </w:pPr>
      <w:r w:rsidRPr="0042667B">
        <w:rPr>
          <w:rFonts w:ascii="Times New Roman" w:hAnsi="Times New Roman" w:cs="Times New Roman"/>
          <w:b/>
          <w:bCs/>
          <w:sz w:val="24"/>
          <w:szCs w:val="24"/>
        </w:rPr>
        <w:t>Eric Lykins</w:t>
      </w:r>
      <w:r w:rsidR="00197F1F" w:rsidRPr="0042667B">
        <w:rPr>
          <w:rFonts w:ascii="Times New Roman" w:hAnsi="Times New Roman" w:cs="Times New Roman"/>
          <w:b/>
          <w:bCs/>
          <w:sz w:val="24"/>
          <w:szCs w:val="24"/>
        </w:rPr>
        <w:t>, P.E.</w:t>
      </w:r>
      <w:r w:rsidR="00AA230B" w:rsidRPr="004266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AA230B" w:rsidRPr="00197F1F">
        <w:rPr>
          <w:rFonts w:ascii="Times New Roman" w:hAnsi="Times New Roman" w:cs="Times New Roman"/>
          <w:sz w:val="24"/>
          <w:szCs w:val="24"/>
        </w:rPr>
        <w:tab/>
      </w:r>
      <w:r w:rsidR="00197F1F" w:rsidRPr="0042667B">
        <w:rPr>
          <w:rFonts w:ascii="Times New Roman" w:hAnsi="Times New Roman" w:cs="Times New Roman"/>
          <w:b/>
          <w:bCs/>
          <w:sz w:val="24"/>
          <w:szCs w:val="24"/>
        </w:rPr>
        <w:t>Bryan Cox</w:t>
      </w:r>
    </w:p>
    <w:p w14:paraId="7BC4E060" w14:textId="1CDE7590" w:rsidR="002040C1" w:rsidRDefault="002040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2743786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bookmarkEnd w:id="2"/>
    <w:p w14:paraId="19C5D8B1" w14:textId="33DB7B26" w:rsidR="00B87AC7" w:rsidRPr="005B4D0F" w:rsidRDefault="00B87AC7" w:rsidP="005B4D0F">
      <w:pPr>
        <w:spacing w:before="77"/>
        <w:ind w:left="447" w:right="30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ATTACHMENT </w:t>
      </w:r>
      <w:r>
        <w:rPr>
          <w:b/>
          <w:spacing w:val="-5"/>
          <w:sz w:val="24"/>
          <w:u w:val="single"/>
        </w:rPr>
        <w:t>“A”</w:t>
      </w:r>
    </w:p>
    <w:p w14:paraId="5616C9D4" w14:textId="77777777" w:rsidR="00B87AC7" w:rsidRDefault="00B87AC7" w:rsidP="00B87AC7">
      <w:pPr>
        <w:pStyle w:val="BodyText"/>
        <w:spacing w:before="164"/>
        <w:rPr>
          <w:b/>
        </w:rPr>
      </w:pPr>
    </w:p>
    <w:p w14:paraId="4349A774" w14:textId="77777777" w:rsidR="00B87AC7" w:rsidRDefault="00B87AC7" w:rsidP="00B87AC7">
      <w:pPr>
        <w:pStyle w:val="BodyText"/>
        <w:spacing w:line="480" w:lineRule="auto"/>
        <w:ind w:left="112" w:right="4709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projects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below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priority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order. Funding indicated is from Category 2.</w:t>
      </w:r>
    </w:p>
    <w:p w14:paraId="7BA9D405" w14:textId="77777777" w:rsidR="00B87AC7" w:rsidRDefault="00B87AC7" w:rsidP="00B87AC7">
      <w:pPr>
        <w:pStyle w:val="ListParagraph"/>
        <w:numPr>
          <w:ilvl w:val="0"/>
          <w:numId w:val="6"/>
        </w:numPr>
        <w:tabs>
          <w:tab w:val="left" w:pos="1066"/>
        </w:tabs>
        <w:ind w:left="1066" w:hanging="235"/>
        <w:rPr>
          <w:sz w:val="24"/>
        </w:rPr>
      </w:pPr>
      <w:r>
        <w:rPr>
          <w:sz w:val="24"/>
        </w:rPr>
        <w:t xml:space="preserve">Add funding to the US 385 at South Loop 338 to account for updated cost estimate - </w:t>
      </w:r>
      <w:r>
        <w:rPr>
          <w:spacing w:val="-5"/>
          <w:sz w:val="24"/>
        </w:rPr>
        <w:t>$7M</w:t>
      </w:r>
    </w:p>
    <w:p w14:paraId="3D37BD93" w14:textId="77777777" w:rsidR="00B87AC7" w:rsidRDefault="00B87AC7" w:rsidP="00B87AC7">
      <w:pPr>
        <w:pStyle w:val="ListParagraph"/>
        <w:numPr>
          <w:ilvl w:val="0"/>
          <w:numId w:val="6"/>
        </w:numPr>
        <w:tabs>
          <w:tab w:val="left" w:pos="1066"/>
        </w:tabs>
        <w:ind w:left="1066" w:hanging="235"/>
        <w:rPr>
          <w:sz w:val="24"/>
        </w:rPr>
      </w:pPr>
      <w:r>
        <w:rPr>
          <w:sz w:val="24"/>
        </w:rPr>
        <w:t>Add the widening of SH 158 from Wadley to Briarwood -</w:t>
      </w:r>
      <w:r>
        <w:rPr>
          <w:spacing w:val="-5"/>
          <w:sz w:val="24"/>
        </w:rPr>
        <w:t>$5M</w:t>
      </w:r>
    </w:p>
    <w:p w14:paraId="1E7090B0" w14:textId="77777777" w:rsidR="00B87AC7" w:rsidRDefault="00B87AC7" w:rsidP="00B87AC7">
      <w:pPr>
        <w:pStyle w:val="ListParagraph"/>
        <w:numPr>
          <w:ilvl w:val="0"/>
          <w:numId w:val="6"/>
        </w:numPr>
        <w:tabs>
          <w:tab w:val="left" w:pos="1066"/>
        </w:tabs>
        <w:ind w:left="1066" w:hanging="235"/>
        <w:rPr>
          <w:sz w:val="24"/>
        </w:rPr>
      </w:pPr>
      <w:r>
        <w:rPr>
          <w:sz w:val="24"/>
        </w:rPr>
        <w:t xml:space="preserve">Construct a new interchange at Loop 338E at 87th Street - </w:t>
      </w:r>
      <w:r>
        <w:rPr>
          <w:spacing w:val="-2"/>
          <w:sz w:val="24"/>
        </w:rPr>
        <w:t>$12.5M</w:t>
      </w:r>
    </w:p>
    <w:p w14:paraId="5F6B7312" w14:textId="77777777" w:rsidR="00B87AC7" w:rsidRDefault="00B87AC7" w:rsidP="00B87AC7">
      <w:pPr>
        <w:pStyle w:val="ListParagraph"/>
        <w:numPr>
          <w:ilvl w:val="0"/>
          <w:numId w:val="6"/>
        </w:numPr>
        <w:tabs>
          <w:tab w:val="left" w:pos="1066"/>
        </w:tabs>
        <w:ind w:left="1066" w:hanging="235"/>
        <w:rPr>
          <w:sz w:val="24"/>
        </w:rPr>
      </w:pPr>
      <w:r>
        <w:rPr>
          <w:sz w:val="24"/>
        </w:rPr>
        <w:t xml:space="preserve">Construct a new interchange at BI-20 at Faudree – $5.5M (partially </w:t>
      </w:r>
      <w:r>
        <w:rPr>
          <w:spacing w:val="-2"/>
          <w:sz w:val="24"/>
        </w:rPr>
        <w:t>funded)</w:t>
      </w:r>
    </w:p>
    <w:p w14:paraId="382A7027" w14:textId="77777777" w:rsidR="00B87AC7" w:rsidRDefault="00B87AC7" w:rsidP="00B87AC7">
      <w:pPr>
        <w:pStyle w:val="ListParagraph"/>
        <w:numPr>
          <w:ilvl w:val="0"/>
          <w:numId w:val="6"/>
        </w:numPr>
        <w:tabs>
          <w:tab w:val="left" w:pos="1066"/>
          <w:tab w:val="left" w:pos="1068"/>
        </w:tabs>
        <w:spacing w:before="5" w:line="235" w:lineRule="auto"/>
        <w:ind w:right="102"/>
        <w:rPr>
          <w:sz w:val="24"/>
        </w:rPr>
      </w:pPr>
      <w:r>
        <w:rPr>
          <w:sz w:val="24"/>
        </w:rPr>
        <w:t>Intersection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ramp</w:t>
      </w:r>
      <w:r>
        <w:rPr>
          <w:spacing w:val="-3"/>
          <w:sz w:val="24"/>
        </w:rPr>
        <w:t xml:space="preserve"> </w:t>
      </w:r>
      <w:r>
        <w:rPr>
          <w:sz w:val="24"/>
        </w:rPr>
        <w:t>reconfiguration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Loop</w:t>
      </w:r>
      <w:r>
        <w:rPr>
          <w:spacing w:val="-4"/>
          <w:sz w:val="24"/>
        </w:rPr>
        <w:t xml:space="preserve"> </w:t>
      </w:r>
      <w:r>
        <w:rPr>
          <w:sz w:val="24"/>
        </w:rPr>
        <w:t>250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Midland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of Midkiff - $5M</w:t>
      </w:r>
    </w:p>
    <w:p w14:paraId="66B524CB" w14:textId="77777777" w:rsidR="00B87AC7" w:rsidRDefault="00B87AC7" w:rsidP="00B87AC7">
      <w:pPr>
        <w:pStyle w:val="ListParagraph"/>
        <w:numPr>
          <w:ilvl w:val="0"/>
          <w:numId w:val="6"/>
        </w:numPr>
        <w:tabs>
          <w:tab w:val="left" w:pos="1066"/>
        </w:tabs>
        <w:spacing w:before="2" w:line="244" w:lineRule="auto"/>
        <w:ind w:left="112" w:right="1476" w:firstLine="719"/>
        <w:rPr>
          <w:sz w:val="24"/>
        </w:rPr>
      </w:pPr>
      <w:r>
        <w:rPr>
          <w:sz w:val="24"/>
        </w:rPr>
        <w:t>Construct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interchange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SH</w:t>
      </w:r>
      <w:r>
        <w:rPr>
          <w:spacing w:val="-3"/>
          <w:sz w:val="24"/>
        </w:rPr>
        <w:t xml:space="preserve"> </w:t>
      </w:r>
      <w:r>
        <w:rPr>
          <w:sz w:val="24"/>
        </w:rPr>
        <w:t>191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CR</w:t>
      </w:r>
      <w:r>
        <w:rPr>
          <w:spacing w:val="-3"/>
          <w:sz w:val="24"/>
        </w:rPr>
        <w:t xml:space="preserve"> </w:t>
      </w:r>
      <w:r>
        <w:rPr>
          <w:sz w:val="24"/>
        </w:rPr>
        <w:t>1250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$5M</w:t>
      </w:r>
      <w:r>
        <w:rPr>
          <w:spacing w:val="-3"/>
          <w:sz w:val="24"/>
        </w:rPr>
        <w:t xml:space="preserve"> </w:t>
      </w:r>
      <w:r>
        <w:rPr>
          <w:sz w:val="24"/>
        </w:rPr>
        <w:t>(partially</w:t>
      </w:r>
      <w:r>
        <w:rPr>
          <w:spacing w:val="-3"/>
          <w:sz w:val="24"/>
        </w:rPr>
        <w:t xml:space="preserve"> f</w:t>
      </w:r>
      <w:r>
        <w:rPr>
          <w:sz w:val="24"/>
        </w:rPr>
        <w:t xml:space="preserve">unded) </w:t>
      </w:r>
    </w:p>
    <w:p w14:paraId="2464C475" w14:textId="77777777" w:rsidR="00B87AC7" w:rsidRDefault="00B87AC7" w:rsidP="00B87AC7">
      <w:pPr>
        <w:pStyle w:val="ListParagraph"/>
        <w:tabs>
          <w:tab w:val="left" w:pos="1066"/>
        </w:tabs>
        <w:spacing w:before="2" w:line="244" w:lineRule="auto"/>
        <w:ind w:left="831" w:right="1476" w:firstLine="0"/>
        <w:rPr>
          <w:sz w:val="24"/>
        </w:rPr>
      </w:pPr>
    </w:p>
    <w:p w14:paraId="4F1D5040" w14:textId="4E516A38" w:rsidR="00B87AC7" w:rsidRPr="00B87AC7" w:rsidRDefault="00B87AC7" w:rsidP="00B87AC7">
      <w:pPr>
        <w:tabs>
          <w:tab w:val="left" w:pos="1066"/>
        </w:tabs>
        <w:spacing w:before="2" w:line="244" w:lineRule="auto"/>
        <w:ind w:left="180" w:right="1476" w:hanging="68"/>
        <w:rPr>
          <w:sz w:val="24"/>
        </w:rPr>
      </w:pPr>
      <w:r w:rsidRPr="00B87AC7">
        <w:rPr>
          <w:sz w:val="24"/>
        </w:rPr>
        <w:t>Proposed changes to existing projects in the 2024 UTP are as follows:</w:t>
      </w:r>
    </w:p>
    <w:p w14:paraId="329C770D" w14:textId="4995929D" w:rsidR="00B87AC7" w:rsidRDefault="00B87AC7" w:rsidP="00B87AC7">
      <w:pPr>
        <w:pStyle w:val="ListParagraph"/>
        <w:numPr>
          <w:ilvl w:val="1"/>
          <w:numId w:val="6"/>
        </w:numPr>
        <w:tabs>
          <w:tab w:val="left" w:pos="1066"/>
        </w:tabs>
        <w:spacing w:before="286"/>
        <w:ind w:left="1066" w:hanging="235"/>
        <w:rPr>
          <w:sz w:val="24"/>
        </w:rPr>
      </w:pPr>
      <w:r>
        <w:rPr>
          <w:sz w:val="24"/>
        </w:rPr>
        <w:t>Reduce funding for the interchange on Loop 338 E at 52/56th Streets from $</w:t>
      </w:r>
      <w:r w:rsidR="005706DD">
        <w:rPr>
          <w:sz w:val="24"/>
        </w:rPr>
        <w:t>28</w:t>
      </w:r>
      <w:r>
        <w:rPr>
          <w:sz w:val="24"/>
        </w:rPr>
        <w:t xml:space="preserve">M to </w:t>
      </w:r>
      <w:r>
        <w:rPr>
          <w:spacing w:val="-2"/>
          <w:sz w:val="24"/>
        </w:rPr>
        <w:t>$5.5M</w:t>
      </w:r>
    </w:p>
    <w:p w14:paraId="378FF25C" w14:textId="77777777" w:rsidR="00B87AC7" w:rsidRDefault="00B87AC7" w:rsidP="00B87AC7">
      <w:pPr>
        <w:pStyle w:val="BodyText"/>
        <w:ind w:left="1101" w:hanging="1"/>
        <w:rPr>
          <w:rFonts w:ascii="Calibri" w:hAnsi="Calibri"/>
        </w:rPr>
      </w:pPr>
      <w:r>
        <w:rPr>
          <w:rFonts w:ascii="Calibri" w:hAnsi="Calibri"/>
        </w:rPr>
        <w:t>=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gain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$22.5M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added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project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above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338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@87th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Street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providing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$35M </w:t>
      </w:r>
      <w:r>
        <w:rPr>
          <w:rFonts w:ascii="Calibri" w:hAnsi="Calibri"/>
          <w:spacing w:val="-2"/>
        </w:rPr>
        <w:t>total</w:t>
      </w:r>
    </w:p>
    <w:p w14:paraId="28517596" w14:textId="77777777" w:rsidR="00B87AC7" w:rsidRDefault="00B87AC7" w:rsidP="00B87AC7">
      <w:pPr>
        <w:pStyle w:val="ListParagraph"/>
        <w:numPr>
          <w:ilvl w:val="1"/>
          <w:numId w:val="6"/>
        </w:numPr>
        <w:tabs>
          <w:tab w:val="left" w:pos="1066"/>
          <w:tab w:val="left" w:pos="1191"/>
        </w:tabs>
        <w:ind w:left="1191" w:right="127" w:hanging="360"/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“Upgrade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Freeway”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UTP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LP</w:t>
      </w:r>
      <w:r>
        <w:rPr>
          <w:spacing w:val="-3"/>
          <w:sz w:val="24"/>
        </w:rPr>
        <w:t xml:space="preserve"> </w:t>
      </w:r>
      <w:r>
        <w:rPr>
          <w:sz w:val="24"/>
        </w:rPr>
        <w:t>338E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”Construct Frontage Roads” from Yukon Road to US 385N - $36.236M – no change in </w:t>
      </w:r>
      <w:r>
        <w:rPr>
          <w:spacing w:val="-2"/>
          <w:sz w:val="24"/>
        </w:rPr>
        <w:t>funding</w:t>
      </w:r>
    </w:p>
    <w:p w14:paraId="5818BDE1" w14:textId="77777777" w:rsidR="00B87AC7" w:rsidRDefault="00B87AC7" w:rsidP="00B87AC7">
      <w:pPr>
        <w:pStyle w:val="BodyText"/>
        <w:rPr>
          <w:rFonts w:ascii="Calibri"/>
        </w:rPr>
      </w:pPr>
    </w:p>
    <w:p w14:paraId="48393808" w14:textId="77777777" w:rsidR="00B87AC7" w:rsidRDefault="00B87AC7" w:rsidP="00B87AC7">
      <w:pPr>
        <w:pStyle w:val="BodyText"/>
        <w:ind w:left="1191"/>
        <w:rPr>
          <w:rFonts w:ascii="Calibri"/>
        </w:rPr>
      </w:pPr>
      <w:r>
        <w:rPr>
          <w:rFonts w:ascii="Calibri"/>
        </w:rPr>
        <w:t xml:space="preserve">Total = </w:t>
      </w:r>
      <w:r>
        <w:rPr>
          <w:rFonts w:ascii="Calibri"/>
          <w:spacing w:val="-2"/>
        </w:rPr>
        <w:t>$40,000,000</w:t>
      </w:r>
    </w:p>
    <w:p w14:paraId="5458C110" w14:textId="6843108A" w:rsidR="00AA230B" w:rsidRDefault="005B4D0F" w:rsidP="00B87AC7">
      <w:pPr>
        <w:spacing w:line="72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B945B9" wp14:editId="026489E7">
            <wp:extent cx="5858189" cy="3926334"/>
            <wp:effectExtent l="0" t="0" r="9525" b="0"/>
            <wp:docPr id="1183651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47" cy="39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230B" w:rsidSect="00576ABF">
      <w:headerReference w:type="default" r:id="rId15"/>
      <w:footerReference w:type="default" r:id="rId16"/>
      <w:pgSz w:w="12240" w:h="15840"/>
      <w:pgMar w:top="720" w:right="1152" w:bottom="864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F829" w14:textId="77777777" w:rsidR="00576ABF" w:rsidRDefault="00576ABF" w:rsidP="00576ABF">
      <w:pPr>
        <w:spacing w:after="0" w:line="240" w:lineRule="auto"/>
      </w:pPr>
      <w:r>
        <w:separator/>
      </w:r>
    </w:p>
  </w:endnote>
  <w:endnote w:type="continuationSeparator" w:id="0">
    <w:p w14:paraId="59672CC3" w14:textId="77777777" w:rsidR="00576ABF" w:rsidRDefault="00576ABF" w:rsidP="0057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448" w14:textId="2FB7ED5F" w:rsidR="0062797C" w:rsidRPr="0062797C" w:rsidRDefault="0062797C">
    <w:pPr>
      <w:pStyle w:val="Footer"/>
      <w:rPr>
        <w:rFonts w:ascii="Arial Narrow" w:hAnsi="Arial Narrow"/>
      </w:rPr>
    </w:pPr>
    <w:r w:rsidRPr="0062797C">
      <w:rPr>
        <w:rFonts w:ascii="Arial Narrow" w:hAnsi="Arial Narrow"/>
      </w:rPr>
      <w:ptab w:relativeTo="margin" w:alignment="center" w:leader="none"/>
    </w:r>
    <w:r w:rsidRPr="0042667B">
      <w:rPr>
        <w:rFonts w:ascii="Arial Narrow" w:hAnsi="Arial Narrow"/>
        <w:sz w:val="24"/>
        <w:szCs w:val="24"/>
      </w:rPr>
      <w:t>RESOLUTION NO. 20</w:t>
    </w:r>
    <w:r w:rsidR="003D3E33" w:rsidRPr="0042667B">
      <w:rPr>
        <w:rFonts w:ascii="Arial Narrow" w:hAnsi="Arial Narrow"/>
        <w:sz w:val="24"/>
        <w:szCs w:val="24"/>
      </w:rPr>
      <w:t>2</w:t>
    </w:r>
    <w:r w:rsidR="00924832" w:rsidRPr="0042667B">
      <w:rPr>
        <w:rFonts w:ascii="Arial Narrow" w:hAnsi="Arial Narrow"/>
        <w:sz w:val="24"/>
        <w:szCs w:val="24"/>
      </w:rPr>
      <w:t>4</w:t>
    </w:r>
    <w:r w:rsidRPr="0042667B">
      <w:rPr>
        <w:rFonts w:ascii="Arial Narrow" w:hAnsi="Arial Narrow"/>
        <w:sz w:val="24"/>
        <w:szCs w:val="24"/>
      </w:rPr>
      <w:t>-</w:t>
    </w:r>
    <w:r w:rsidR="00D709CD" w:rsidRPr="0042667B">
      <w:rPr>
        <w:rFonts w:ascii="Arial Narrow" w:hAnsi="Arial Narrow"/>
        <w:sz w:val="24"/>
        <w:szCs w:val="24"/>
      </w:rPr>
      <w:t>0</w:t>
    </w:r>
    <w:r w:rsidR="00924832" w:rsidRPr="0042667B">
      <w:rPr>
        <w:rFonts w:ascii="Arial Narrow" w:hAnsi="Arial Narrow"/>
        <w:sz w:val="24"/>
        <w:szCs w:val="24"/>
      </w:rPr>
      <w:t>1</w:t>
    </w:r>
    <w:r w:rsidRPr="0042667B">
      <w:rPr>
        <w:rFonts w:ascii="Arial Narrow" w:hAnsi="Arial Narrow"/>
        <w:sz w:val="24"/>
        <w:szCs w:val="24"/>
      </w:rPr>
      <w:t>-</w:t>
    </w:r>
    <w:r w:rsidR="00D709CD" w:rsidRPr="0042667B">
      <w:rPr>
        <w:rFonts w:ascii="Arial Narrow" w:hAnsi="Arial Narrow"/>
        <w:sz w:val="24"/>
        <w:szCs w:val="24"/>
      </w:rPr>
      <w:t>2</w:t>
    </w:r>
    <w:r w:rsidR="00924832" w:rsidRPr="0042667B">
      <w:rPr>
        <w:rFonts w:ascii="Arial Narrow" w:hAnsi="Arial Narrow"/>
        <w:sz w:val="24"/>
        <w:szCs w:val="24"/>
      </w:rPr>
      <w:t>9</w:t>
    </w:r>
    <w:r w:rsidR="0043229A" w:rsidRPr="0042667B">
      <w:rPr>
        <w:rFonts w:ascii="Arial Narrow" w:hAnsi="Arial Narrow"/>
        <w:sz w:val="24"/>
        <w:szCs w:val="24"/>
      </w:rPr>
      <w:t>-</w:t>
    </w:r>
    <w:r w:rsidR="00D7610F" w:rsidRPr="0042667B">
      <w:rPr>
        <w:rFonts w:ascii="Arial Narrow" w:hAnsi="Arial Narrow"/>
        <w:sz w:val="24"/>
        <w:szCs w:val="24"/>
      </w:rPr>
      <w:t>1</w:t>
    </w:r>
    <w:r w:rsidRPr="0062797C">
      <w:rPr>
        <w:rFonts w:ascii="Arial Narrow" w:hAnsi="Arial Narrow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55CD" w14:textId="77777777" w:rsidR="00576ABF" w:rsidRDefault="00576ABF" w:rsidP="00576ABF">
      <w:pPr>
        <w:spacing w:after="0" w:line="240" w:lineRule="auto"/>
      </w:pPr>
      <w:r>
        <w:separator/>
      </w:r>
    </w:p>
  </w:footnote>
  <w:footnote w:type="continuationSeparator" w:id="0">
    <w:p w14:paraId="143759AC" w14:textId="77777777" w:rsidR="00576ABF" w:rsidRDefault="00576ABF" w:rsidP="0057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FCBC" w14:textId="701B4F06" w:rsidR="0062797C" w:rsidRDefault="0062797C">
    <w:pPr>
      <w:pStyle w:val="Header"/>
      <w:jc w:val="right"/>
    </w:pPr>
  </w:p>
  <w:p w14:paraId="742EEEF3" w14:textId="77777777" w:rsidR="0062797C" w:rsidRDefault="00627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BFE"/>
    <w:multiLevelType w:val="hybridMultilevel"/>
    <w:tmpl w:val="6FE8AB5C"/>
    <w:lvl w:ilvl="0" w:tplc="61BCCDAC">
      <w:start w:val="1"/>
      <w:numFmt w:val="decimal"/>
      <w:lvlText w:val="%1."/>
      <w:lvlJc w:val="left"/>
      <w:pPr>
        <w:ind w:left="1068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F2A3B9C">
      <w:start w:val="1"/>
      <w:numFmt w:val="decimal"/>
      <w:lvlText w:val="%2."/>
      <w:lvlJc w:val="left"/>
      <w:pPr>
        <w:ind w:left="1068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A40BC78">
      <w:numFmt w:val="bullet"/>
      <w:lvlText w:val="•"/>
      <w:lvlJc w:val="left"/>
      <w:pPr>
        <w:ind w:left="2852" w:hanging="237"/>
      </w:pPr>
      <w:rPr>
        <w:rFonts w:hint="default"/>
        <w:lang w:val="en-US" w:eastAsia="en-US" w:bidi="ar-SA"/>
      </w:rPr>
    </w:lvl>
    <w:lvl w:ilvl="3" w:tplc="FE3CC75E">
      <w:numFmt w:val="bullet"/>
      <w:lvlText w:val="•"/>
      <w:lvlJc w:val="left"/>
      <w:pPr>
        <w:ind w:left="3748" w:hanging="237"/>
      </w:pPr>
      <w:rPr>
        <w:rFonts w:hint="default"/>
        <w:lang w:val="en-US" w:eastAsia="en-US" w:bidi="ar-SA"/>
      </w:rPr>
    </w:lvl>
    <w:lvl w:ilvl="4" w:tplc="060A15B4">
      <w:numFmt w:val="bullet"/>
      <w:lvlText w:val="•"/>
      <w:lvlJc w:val="left"/>
      <w:pPr>
        <w:ind w:left="4644" w:hanging="237"/>
      </w:pPr>
      <w:rPr>
        <w:rFonts w:hint="default"/>
        <w:lang w:val="en-US" w:eastAsia="en-US" w:bidi="ar-SA"/>
      </w:rPr>
    </w:lvl>
    <w:lvl w:ilvl="5" w:tplc="DBEEE3BE">
      <w:numFmt w:val="bullet"/>
      <w:lvlText w:val="•"/>
      <w:lvlJc w:val="left"/>
      <w:pPr>
        <w:ind w:left="5540" w:hanging="237"/>
      </w:pPr>
      <w:rPr>
        <w:rFonts w:hint="default"/>
        <w:lang w:val="en-US" w:eastAsia="en-US" w:bidi="ar-SA"/>
      </w:rPr>
    </w:lvl>
    <w:lvl w:ilvl="6" w:tplc="717407A6">
      <w:numFmt w:val="bullet"/>
      <w:lvlText w:val="•"/>
      <w:lvlJc w:val="left"/>
      <w:pPr>
        <w:ind w:left="6436" w:hanging="237"/>
      </w:pPr>
      <w:rPr>
        <w:rFonts w:hint="default"/>
        <w:lang w:val="en-US" w:eastAsia="en-US" w:bidi="ar-SA"/>
      </w:rPr>
    </w:lvl>
    <w:lvl w:ilvl="7" w:tplc="BC7426C8">
      <w:numFmt w:val="bullet"/>
      <w:lvlText w:val="•"/>
      <w:lvlJc w:val="left"/>
      <w:pPr>
        <w:ind w:left="7332" w:hanging="237"/>
      </w:pPr>
      <w:rPr>
        <w:rFonts w:hint="default"/>
        <w:lang w:val="en-US" w:eastAsia="en-US" w:bidi="ar-SA"/>
      </w:rPr>
    </w:lvl>
    <w:lvl w:ilvl="8" w:tplc="3D987AE0">
      <w:numFmt w:val="bullet"/>
      <w:lvlText w:val="•"/>
      <w:lvlJc w:val="left"/>
      <w:pPr>
        <w:ind w:left="8228" w:hanging="237"/>
      </w:pPr>
      <w:rPr>
        <w:rFonts w:hint="default"/>
        <w:lang w:val="en-US" w:eastAsia="en-US" w:bidi="ar-SA"/>
      </w:rPr>
    </w:lvl>
  </w:abstractNum>
  <w:abstractNum w:abstractNumId="1" w15:restartNumberingAfterBreak="0">
    <w:nsid w:val="17AE2665"/>
    <w:multiLevelType w:val="hybridMultilevel"/>
    <w:tmpl w:val="AF002CF2"/>
    <w:lvl w:ilvl="0" w:tplc="3C4EDF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8B06B6"/>
    <w:multiLevelType w:val="hybridMultilevel"/>
    <w:tmpl w:val="28CA0F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CCA0D3A"/>
    <w:multiLevelType w:val="hybridMultilevel"/>
    <w:tmpl w:val="3CB69A4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B93297B"/>
    <w:multiLevelType w:val="hybridMultilevel"/>
    <w:tmpl w:val="223488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790D342C"/>
    <w:multiLevelType w:val="hybridMultilevel"/>
    <w:tmpl w:val="6E148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90371609">
    <w:abstractNumId w:val="1"/>
  </w:num>
  <w:num w:numId="2" w16cid:durableId="957680808">
    <w:abstractNumId w:val="4"/>
  </w:num>
  <w:num w:numId="3" w16cid:durableId="699890456">
    <w:abstractNumId w:val="3"/>
  </w:num>
  <w:num w:numId="4" w16cid:durableId="126902441">
    <w:abstractNumId w:val="5"/>
  </w:num>
  <w:num w:numId="5" w16cid:durableId="241138176">
    <w:abstractNumId w:val="2"/>
  </w:num>
  <w:num w:numId="6" w16cid:durableId="97637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8C"/>
    <w:rsid w:val="000508DD"/>
    <w:rsid w:val="00075DC6"/>
    <w:rsid w:val="000F59D3"/>
    <w:rsid w:val="00197F1F"/>
    <w:rsid w:val="002040C1"/>
    <w:rsid w:val="00231BDD"/>
    <w:rsid w:val="00253BB1"/>
    <w:rsid w:val="00270A04"/>
    <w:rsid w:val="0028437C"/>
    <w:rsid w:val="002A703C"/>
    <w:rsid w:val="002B3B73"/>
    <w:rsid w:val="00345156"/>
    <w:rsid w:val="003D3E33"/>
    <w:rsid w:val="003E2B5D"/>
    <w:rsid w:val="003E7568"/>
    <w:rsid w:val="0041179C"/>
    <w:rsid w:val="0042667B"/>
    <w:rsid w:val="0043229A"/>
    <w:rsid w:val="00494110"/>
    <w:rsid w:val="004F3864"/>
    <w:rsid w:val="005706DD"/>
    <w:rsid w:val="00576ABF"/>
    <w:rsid w:val="00586713"/>
    <w:rsid w:val="005B4D0F"/>
    <w:rsid w:val="00614596"/>
    <w:rsid w:val="0062797C"/>
    <w:rsid w:val="00631890"/>
    <w:rsid w:val="006B0D56"/>
    <w:rsid w:val="0071748C"/>
    <w:rsid w:val="00754E18"/>
    <w:rsid w:val="007A1427"/>
    <w:rsid w:val="00807A27"/>
    <w:rsid w:val="0083088E"/>
    <w:rsid w:val="0088071D"/>
    <w:rsid w:val="008C721D"/>
    <w:rsid w:val="00924832"/>
    <w:rsid w:val="00963C55"/>
    <w:rsid w:val="00994F74"/>
    <w:rsid w:val="00A043E2"/>
    <w:rsid w:val="00A77F3B"/>
    <w:rsid w:val="00AA230B"/>
    <w:rsid w:val="00AD06A4"/>
    <w:rsid w:val="00AF0C82"/>
    <w:rsid w:val="00B213A1"/>
    <w:rsid w:val="00B77B76"/>
    <w:rsid w:val="00B841A8"/>
    <w:rsid w:val="00B87AC7"/>
    <w:rsid w:val="00CE5C3F"/>
    <w:rsid w:val="00D503A2"/>
    <w:rsid w:val="00D709CD"/>
    <w:rsid w:val="00D7610F"/>
    <w:rsid w:val="00DE4312"/>
    <w:rsid w:val="00E56189"/>
    <w:rsid w:val="00E73623"/>
    <w:rsid w:val="00E73720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75E6"/>
  <w15:docId w15:val="{E970419A-02BC-46D1-829A-61BCDC01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B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B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AF0C82"/>
    <w:pPr>
      <w:widowControl w:val="0"/>
      <w:autoSpaceDE w:val="0"/>
      <w:autoSpaceDN w:val="0"/>
      <w:spacing w:after="0" w:line="240" w:lineRule="auto"/>
      <w:ind w:left="620" w:hanging="360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50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77F3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B87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7A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Spencer</dc:creator>
  <cp:keywords/>
  <cp:lastModifiedBy>Akyra Hamilton</cp:lastModifiedBy>
  <cp:revision>19</cp:revision>
  <cp:lastPrinted>2024-01-29T16:36:00Z</cp:lastPrinted>
  <dcterms:created xsi:type="dcterms:W3CDTF">2024-01-22T15:48:00Z</dcterms:created>
  <dcterms:modified xsi:type="dcterms:W3CDTF">2024-01-31T16:48:00Z</dcterms:modified>
</cp:coreProperties>
</file>